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A592A97" w:rsidR="00F92268" w:rsidRPr="00FF66BF" w:rsidRDefault="002F1C06" w:rsidP="00F246C7">
            <w:pPr>
              <w:pStyle w:val="RefTableHeader"/>
            </w:pPr>
            <w:r w:rsidRPr="002F1C06">
              <w:t>4411-A</w:t>
            </w:r>
          </w:p>
        </w:tc>
      </w:tr>
    </w:tbl>
    <w:p w14:paraId="74FBA5B4" w14:textId="77777777" w:rsidR="00051356" w:rsidRPr="00C63185" w:rsidRDefault="00051356" w:rsidP="009C0EC8">
      <w:pPr>
        <w:pStyle w:val="BodyText"/>
        <w:spacing w:after="0"/>
        <w:rPr>
          <w:b/>
          <w:bCs/>
          <w:sz w:val="2"/>
          <w:szCs w:val="2"/>
        </w:rPr>
        <w:sectPr w:rsidR="00051356" w:rsidRPr="00C63185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5D071AE" w14:textId="5C045EA2" w:rsidR="00041200" w:rsidRPr="00041200" w:rsidRDefault="004E1AFC" w:rsidP="008B6DB2">
      <w:pPr>
        <w:pStyle w:val="Heading1"/>
      </w:pPr>
      <w:r w:rsidRPr="004E1AFC">
        <w:t>Specialty Guideline Management</w:t>
      </w:r>
      <w:r w:rsidR="008B6DB2">
        <w:br/>
      </w:r>
      <w:proofErr w:type="spellStart"/>
      <w:r w:rsidRPr="004E1AFC">
        <w:t>Orgovyx</w:t>
      </w:r>
      <w:proofErr w:type="spellEnd"/>
    </w:p>
    <w:p w14:paraId="78861C92" w14:textId="257C23D6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1C3EB79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2537E4" w:rsidRPr="002537E4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00"/>
        <w:gridCol w:w="5670"/>
      </w:tblGrid>
      <w:tr w:rsidR="004E1AFC" w:rsidRPr="00BD1CC1" w14:paraId="457CEE36" w14:textId="77777777" w:rsidTr="008B6DB2">
        <w:trPr>
          <w:cantSplit/>
          <w:trHeight w:val="288"/>
          <w:tblHeader/>
        </w:trPr>
        <w:tc>
          <w:tcPr>
            <w:tcW w:w="5100" w:type="dxa"/>
            <w:vAlign w:val="center"/>
          </w:tcPr>
          <w:p w14:paraId="74FADDC6" w14:textId="77777777" w:rsidR="004E1AFC" w:rsidRPr="00BD1CC1" w:rsidRDefault="004E1AFC">
            <w:pPr>
              <w:pStyle w:val="TableHeader"/>
            </w:pPr>
            <w:r w:rsidRPr="00BD1CC1">
              <w:t>Brand Name</w:t>
            </w:r>
          </w:p>
        </w:tc>
        <w:tc>
          <w:tcPr>
            <w:tcW w:w="5670" w:type="dxa"/>
          </w:tcPr>
          <w:p w14:paraId="571AE219" w14:textId="77777777" w:rsidR="004E1AFC" w:rsidRPr="00BD1CC1" w:rsidRDefault="004E1AFC">
            <w:pPr>
              <w:pStyle w:val="TableHeader"/>
            </w:pPr>
            <w:r>
              <w:t>Generic Name</w:t>
            </w:r>
          </w:p>
        </w:tc>
      </w:tr>
      <w:tr w:rsidR="004E1AFC" w:rsidRPr="00BD1CC1" w14:paraId="311A3451" w14:textId="77777777" w:rsidTr="008B6DB2">
        <w:trPr>
          <w:cantSplit/>
        </w:trPr>
        <w:tc>
          <w:tcPr>
            <w:tcW w:w="5100" w:type="dxa"/>
          </w:tcPr>
          <w:p w14:paraId="64CB6BA6" w14:textId="11A9AB0C" w:rsidR="004E1AFC" w:rsidRPr="00946F10" w:rsidRDefault="004E1AFC">
            <w:pPr>
              <w:pStyle w:val="TableDataUnpadded"/>
              <w:rPr>
                <w:bCs/>
              </w:rPr>
            </w:pPr>
            <w:proofErr w:type="spellStart"/>
            <w:r w:rsidRPr="004E1AFC">
              <w:t>Orgovyx</w:t>
            </w:r>
            <w:proofErr w:type="spellEnd"/>
          </w:p>
        </w:tc>
        <w:tc>
          <w:tcPr>
            <w:tcW w:w="5670" w:type="dxa"/>
          </w:tcPr>
          <w:p w14:paraId="6AEDBDEE" w14:textId="517B9F5D" w:rsidR="004E1AFC" w:rsidRPr="00BD1CC1" w:rsidRDefault="004E1AFC">
            <w:pPr>
              <w:pStyle w:val="TableDataUnpadded"/>
            </w:pPr>
            <w:proofErr w:type="spellStart"/>
            <w:r w:rsidRPr="004E1AFC">
              <w:t>relugolix</w:t>
            </w:r>
            <w:proofErr w:type="spellEnd"/>
          </w:p>
        </w:tc>
      </w:tr>
    </w:tbl>
    <w:p w14:paraId="14CE6108" w14:textId="46B5A99F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AB64C60" w14:textId="4B8765B6" w:rsidR="004E1AFC" w:rsidRPr="004E1AFC" w:rsidRDefault="004E1AFC" w:rsidP="004E1AFC">
      <w:pPr>
        <w:pStyle w:val="BodyText"/>
      </w:pPr>
      <w:r w:rsidRPr="004E1AF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0B5A9455" w14:textId="365CD4EA" w:rsidR="004E1AFC" w:rsidRDefault="00ED052F" w:rsidP="004E1AFC">
      <w:pPr>
        <w:pStyle w:val="Heading3"/>
        <w:keepNext w:val="0"/>
      </w:pPr>
      <w:r w:rsidRPr="00BD1CC1">
        <w:t>FDA-approved Indications</w:t>
      </w:r>
    </w:p>
    <w:p w14:paraId="3058A5F8" w14:textId="5F345E6E" w:rsidR="005C778C" w:rsidRPr="00255903" w:rsidRDefault="004E1AFC" w:rsidP="004E1AFC">
      <w:pPr>
        <w:pStyle w:val="BodyText"/>
      </w:pPr>
      <w:proofErr w:type="spellStart"/>
      <w:r w:rsidRPr="004E1AFC">
        <w:t>Orgovyx</w:t>
      </w:r>
      <w:proofErr w:type="spellEnd"/>
      <w:r w:rsidRPr="004E1AFC">
        <w:t xml:space="preserve"> is indicated for the treatment of adult patients with advanced prostate cancer.</w:t>
      </w:r>
    </w:p>
    <w:p w14:paraId="0B5EC236" w14:textId="015F0C05" w:rsidR="0044763A" w:rsidRPr="00100B91" w:rsidRDefault="009F2EF1" w:rsidP="0044763A">
      <w:pPr>
        <w:pStyle w:val="Heading3"/>
      </w:pPr>
      <w:r>
        <w:t>Compendial Uses</w:t>
      </w:r>
    </w:p>
    <w:p w14:paraId="7067B51E" w14:textId="0AC34269" w:rsidR="004E1AFC" w:rsidRPr="004E1AFC" w:rsidRDefault="004E1AFC" w:rsidP="004E1AFC">
      <w:pPr>
        <w:pStyle w:val="BodyText"/>
        <w:rPr>
          <w:rFonts w:eastAsia="Arial"/>
        </w:rPr>
      </w:pPr>
      <w:r w:rsidRPr="004E1AFC">
        <w:rPr>
          <w:rFonts w:eastAsia="Arial"/>
        </w:rPr>
        <w:t>Prostate Cancer</w:t>
      </w:r>
    </w:p>
    <w:p w14:paraId="52C0A6F1" w14:textId="559C20DB" w:rsidR="004E1AFC" w:rsidRPr="00BD1CC1" w:rsidRDefault="004E1AFC" w:rsidP="004E1AFC">
      <w:pPr>
        <w:pStyle w:val="BodyText"/>
        <w:rPr>
          <w:rFonts w:eastAsia="Arial"/>
        </w:rPr>
      </w:pPr>
      <w:r w:rsidRPr="004E1AFC">
        <w:rPr>
          <w:rFonts w:eastAsia="Arial"/>
        </w:rPr>
        <w:t>All other indications are considered experimental/investigational and not medically necessary.</w:t>
      </w:r>
    </w:p>
    <w:p w14:paraId="34FADD6A" w14:textId="294473C8" w:rsidR="004E1AFC" w:rsidRDefault="00685107" w:rsidP="003C5505">
      <w:pPr>
        <w:pStyle w:val="Heading2"/>
      </w:pPr>
      <w:r>
        <w:t>Coverage Criteria</w:t>
      </w:r>
    </w:p>
    <w:p w14:paraId="138AC6D8" w14:textId="58AD09D5" w:rsidR="004E1AFC" w:rsidRDefault="004E1AFC" w:rsidP="003C5505">
      <w:pPr>
        <w:pStyle w:val="Heading3"/>
        <w:keepLines w:val="0"/>
      </w:pPr>
      <w:r>
        <w:t>Prostate Cancer</w:t>
      </w:r>
    </w:p>
    <w:p w14:paraId="50F67AE8" w14:textId="242D3B41" w:rsidR="004E1AFC" w:rsidRDefault="004E1AFC" w:rsidP="009C0EC8">
      <w:pPr>
        <w:widowControl w:val="0"/>
      </w:pPr>
      <w:r>
        <w:t>Authorization of 12 months may be granted for treatment of prostate cancer.</w:t>
      </w:r>
    </w:p>
    <w:p w14:paraId="3A643EC3" w14:textId="32FFEDA7" w:rsidR="00A501AC" w:rsidRPr="00BD1CC1" w:rsidRDefault="00A501AC" w:rsidP="002F1C06">
      <w:pPr>
        <w:pStyle w:val="Heading2"/>
        <w:tabs>
          <w:tab w:val="left" w:pos="9510"/>
        </w:tabs>
      </w:pPr>
      <w:r w:rsidRPr="00BD1CC1">
        <w:lastRenderedPageBreak/>
        <w:t>Continuation of Therapy</w:t>
      </w:r>
    </w:p>
    <w:p w14:paraId="1B67A70E" w14:textId="6902D179" w:rsidR="004E1AFC" w:rsidRPr="003D46B0" w:rsidRDefault="004E1AFC" w:rsidP="003D46B0">
      <w:pPr>
        <w:pStyle w:val="BodyText"/>
      </w:pPr>
      <w:r w:rsidRPr="004E1AFC">
        <w:t>Authorization of 12 months may be granted for continued treatment in members requesting reauthorization who are experiencing clinical benefit to therapy (e.g., maintaining serum testosterone to less than 50ng/dL) and who have not experienced an unacceptable toxicity.</w:t>
      </w:r>
    </w:p>
    <w:p w14:paraId="10DA4309" w14:textId="366F4CC6" w:rsidR="00FF66BF" w:rsidRPr="008D1B34" w:rsidRDefault="00FF66BF" w:rsidP="00FF66BF">
      <w:pPr>
        <w:pStyle w:val="Heading2"/>
      </w:pPr>
      <w:r w:rsidRPr="008D1B34">
        <w:t>References</w:t>
      </w:r>
    </w:p>
    <w:p w14:paraId="428933F0" w14:textId="0C4CB3CC" w:rsidR="002F1C06" w:rsidRDefault="002F1C06" w:rsidP="002F1C06">
      <w:pPr>
        <w:pStyle w:val="ReferenceOrdered"/>
      </w:pPr>
      <w:proofErr w:type="spellStart"/>
      <w:r>
        <w:t>Orgovyx</w:t>
      </w:r>
      <w:proofErr w:type="spellEnd"/>
      <w:r>
        <w:t xml:space="preserve"> [package insert]. Brisbane, CA: </w:t>
      </w:r>
      <w:proofErr w:type="spellStart"/>
      <w:r>
        <w:t>Myovant</w:t>
      </w:r>
      <w:proofErr w:type="spellEnd"/>
      <w:r>
        <w:t xml:space="preserve"> Sciences, Inc; </w:t>
      </w:r>
      <w:r w:rsidR="00E32A4F">
        <w:t>August</w:t>
      </w:r>
      <w:r>
        <w:t xml:space="preserve"> 2023.</w:t>
      </w:r>
    </w:p>
    <w:p w14:paraId="47E1A10C" w14:textId="53F942DA" w:rsidR="00C44990" w:rsidRPr="003C5505" w:rsidRDefault="002F1C06" w:rsidP="007D41B4">
      <w:pPr>
        <w:pStyle w:val="ReferenceOrdered"/>
      </w:pPr>
      <w:r>
        <w:t xml:space="preserve">The NCCN Drugs &amp; Biologics Compendium® © </w:t>
      </w:r>
      <w:r w:rsidR="001611DD">
        <w:t xml:space="preserve">2024 </w:t>
      </w:r>
      <w:r>
        <w:t xml:space="preserve">National Comprehensive Cancer Network, Inc. Available at: http://www.nccn.org. Accessed </w:t>
      </w:r>
      <w:r w:rsidR="00E32A4F">
        <w:t>August</w:t>
      </w:r>
      <w:r w:rsidR="001611DD">
        <w:t xml:space="preserve"> </w:t>
      </w:r>
      <w:r>
        <w:t>1, 202</w:t>
      </w:r>
      <w:r w:rsidR="001611DD">
        <w:t>4</w:t>
      </w:r>
      <w:r>
        <w:t>.</w:t>
      </w:r>
    </w:p>
    <w:sectPr w:rsidR="00C44990" w:rsidRPr="003C5505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2FA45" w14:textId="77777777" w:rsidR="0005565F" w:rsidRDefault="0005565F">
      <w:r>
        <w:separator/>
      </w:r>
    </w:p>
  </w:endnote>
  <w:endnote w:type="continuationSeparator" w:id="0">
    <w:p w14:paraId="42F6C400" w14:textId="77777777" w:rsidR="0005565F" w:rsidRDefault="0005565F">
      <w:r>
        <w:continuationSeparator/>
      </w:r>
    </w:p>
  </w:endnote>
  <w:endnote w:type="continuationNotice" w:id="1">
    <w:p w14:paraId="536DFAB4" w14:textId="77777777" w:rsidR="0005565F" w:rsidRDefault="000556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818105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206EA" w:rsidRPr="00B206EA">
      <w:rPr>
        <w:rFonts w:cs="Arial"/>
        <w:noProof/>
        <w:sz w:val="16"/>
        <w:szCs w:val="16"/>
      </w:rPr>
      <w:t>Orgovyx</w:t>
    </w:r>
    <w:r w:rsidR="00B206EA">
      <w:rPr>
        <w:rFonts w:cs="Arial"/>
        <w:noProof/>
        <w:snapToGrid w:val="0"/>
        <w:color w:val="000000"/>
        <w:sz w:val="16"/>
        <w:szCs w:val="16"/>
      </w:rPr>
      <w:t xml:space="preserve"> SGM 4411-A</w:t>
    </w:r>
    <w:r w:rsidR="00B206EA" w:rsidRPr="00B206EA">
      <w:rPr>
        <w:rFonts w:cs="Arial"/>
        <w:noProof/>
        <w:sz w:val="16"/>
        <w:szCs w:val="16"/>
      </w:rPr>
      <w:t xml:space="preserve"> </w:t>
    </w:r>
    <w:r w:rsidR="00A14929">
      <w:rPr>
        <w:rFonts w:cs="Arial"/>
        <w:noProof/>
        <w:sz w:val="16"/>
        <w:szCs w:val="16"/>
      </w:rPr>
      <w:t>P</w:t>
    </w:r>
    <w:r w:rsidR="00B206EA" w:rsidRPr="00B206EA">
      <w:rPr>
        <w:rFonts w:cs="Arial"/>
        <w:noProof/>
        <w:sz w:val="16"/>
        <w:szCs w:val="16"/>
      </w:rPr>
      <w:t>2024</w:t>
    </w:r>
    <w:r w:rsidR="00B206EA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1A5276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C99C19A" w:rsidR="00F75C81" w:rsidRPr="003C5505" w:rsidRDefault="00C36B72" w:rsidP="003C5505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424028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206EA" w:rsidRPr="00B206EA">
      <w:rPr>
        <w:rFonts w:cs="Arial"/>
        <w:noProof/>
        <w:sz w:val="16"/>
        <w:szCs w:val="16"/>
      </w:rPr>
      <w:t>Orgovyx</w:t>
    </w:r>
    <w:r w:rsidR="00B206EA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B206EA" w:rsidRPr="00B206EA">
      <w:rPr>
        <w:rFonts w:cs="Arial"/>
        <w:noProof/>
        <w:sz w:val="16"/>
        <w:szCs w:val="16"/>
      </w:rPr>
      <w:t xml:space="preserve"> </w:t>
    </w:r>
    <w:r w:rsidR="00B206EA">
      <w:rPr>
        <w:rFonts w:cs="Arial"/>
        <w:noProof/>
        <w:snapToGrid w:val="0"/>
        <w:color w:val="000000"/>
        <w:sz w:val="16"/>
        <w:szCs w:val="16"/>
      </w:rPr>
      <w:t xml:space="preserve">4411-A </w:t>
    </w:r>
    <w:r w:rsidR="00A14929">
      <w:rPr>
        <w:rFonts w:cs="Arial"/>
        <w:noProof/>
        <w:snapToGrid w:val="0"/>
        <w:color w:val="000000"/>
        <w:sz w:val="16"/>
        <w:szCs w:val="16"/>
      </w:rPr>
      <w:t>P</w:t>
    </w:r>
    <w:r w:rsidR="00B206EA" w:rsidRPr="00B206EA">
      <w:rPr>
        <w:rFonts w:cs="Arial"/>
        <w:noProof/>
        <w:sz w:val="16"/>
        <w:szCs w:val="16"/>
      </w:rPr>
      <w:t>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F0E818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40BAD91" w:rsidR="00ED04EC" w:rsidRPr="003C5505" w:rsidRDefault="00F50D98" w:rsidP="003C5505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E4A33" w14:textId="77777777" w:rsidR="0005565F" w:rsidRDefault="0005565F">
      <w:r>
        <w:separator/>
      </w:r>
    </w:p>
  </w:footnote>
  <w:footnote w:type="continuationSeparator" w:id="0">
    <w:p w14:paraId="72B958D5" w14:textId="77777777" w:rsidR="0005565F" w:rsidRDefault="0005565F">
      <w:r>
        <w:continuationSeparator/>
      </w:r>
    </w:p>
  </w:footnote>
  <w:footnote w:type="continuationNotice" w:id="1">
    <w:p w14:paraId="351CD0BD" w14:textId="77777777" w:rsidR="0005565F" w:rsidRDefault="000556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E075CFD" w:rsidR="00ED04EC" w:rsidRPr="004C7F1D" w:rsidRDefault="002F1C06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2F1C06">
            <w:rPr>
              <w:rFonts w:ascii="Arial" w:hAnsi="Arial" w:cs="Arial"/>
              <w:sz w:val="16"/>
              <w:szCs w:val="16"/>
            </w:rPr>
            <w:t>4411-A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65F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431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1BFD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11DD"/>
    <w:rsid w:val="00162951"/>
    <w:rsid w:val="001630B4"/>
    <w:rsid w:val="00165258"/>
    <w:rsid w:val="001653A4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0A1"/>
    <w:rsid w:val="001D4343"/>
    <w:rsid w:val="001D536B"/>
    <w:rsid w:val="001D56F3"/>
    <w:rsid w:val="001D595E"/>
    <w:rsid w:val="001D5AA2"/>
    <w:rsid w:val="001D694B"/>
    <w:rsid w:val="001E0D36"/>
    <w:rsid w:val="001E3651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7E4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1C06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E60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5505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5E5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27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AFC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44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5B7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0985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409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7FE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2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2C2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6F10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0EC8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929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6EA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0B34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1A3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85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A7987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229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2A4F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47C7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55FD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C238F59-6882-477D-9466-BD11A3CC70FC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Orgovyx 4411-A SGM 2023</vt:lpstr>
    </vt:vector>
  </TitlesOfParts>
  <Company>PCS Health Systems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Orgovyx 4411-A SGM 2023</dc:title>
  <dc:subject/>
  <dc:creator>CVS Caremark</dc:creator>
  <cp:keywords/>
  <cp:lastModifiedBy>Huerta, Linda M</cp:lastModifiedBy>
  <cp:revision>3</cp:revision>
  <cp:lastPrinted>2018-01-09T08:01:00Z</cp:lastPrinted>
  <dcterms:created xsi:type="dcterms:W3CDTF">2024-10-31T17:30:00Z</dcterms:created>
  <dcterms:modified xsi:type="dcterms:W3CDTF">2024-11-14T02:53:00Z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1760500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